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C24" w:rsidRDefault="00142C24" w:rsidP="00142C24">
      <w:pPr>
        <w:bidi/>
      </w:pPr>
      <w:r>
        <w:rPr>
          <w:rFonts w:cs="Arial"/>
          <w:rtl/>
          <w:lang w:bidi="he-IL"/>
        </w:rPr>
        <w:t>טקסט בעברית</w:t>
      </w:r>
    </w:p>
    <w:p w:rsidR="00142C24" w:rsidRDefault="00142C24" w:rsidP="00142C24">
      <w:pPr>
        <w:bidi/>
      </w:pPr>
    </w:p>
    <w:p w:rsidR="00142C24" w:rsidRDefault="00142C24" w:rsidP="00142C24">
      <w:pPr>
        <w:bidi/>
      </w:pPr>
      <w:r>
        <w:rPr>
          <w:rFonts w:cs="Arial"/>
          <w:rtl/>
          <w:lang w:bidi="he-IL"/>
        </w:rPr>
        <w:t xml:space="preserve">אולם כיום, העדות הפילוסופית האסתטית, אשר חלק ממנה מובא במאמר זה מסוגלת לראות שוב את היופי האלוהי של חוויית היצירה העצמית הרגעית, לצד </w:t>
      </w:r>
      <w:proofErr w:type="spellStart"/>
      <w:r>
        <w:rPr>
          <w:rFonts w:cs="Arial"/>
          <w:rtl/>
          <w:lang w:bidi="he-IL"/>
        </w:rPr>
        <w:t>נשגבותה</w:t>
      </w:r>
      <w:proofErr w:type="spellEnd"/>
      <w:r>
        <w:rPr>
          <w:rFonts w:cs="Arial"/>
          <w:rtl/>
          <w:lang w:bidi="he-IL"/>
        </w:rPr>
        <w:t xml:space="preserve"> של היצירה האסתטית </w:t>
      </w:r>
      <w:proofErr w:type="spellStart"/>
      <w:r>
        <w:rPr>
          <w:rFonts w:cs="Arial"/>
          <w:rtl/>
          <w:lang w:bidi="he-IL"/>
        </w:rPr>
        <w:t>החברתית־קוגניטיבית</w:t>
      </w:r>
      <w:proofErr w:type="spellEnd"/>
      <w:r>
        <w:rPr>
          <w:rFonts w:cs="Arial"/>
          <w:rtl/>
          <w:lang w:bidi="he-IL"/>
        </w:rPr>
        <w:t>. השילוב המדובר כאן, בין היופי הנובע מתוך היצירה העצמית, לבין חוויית האסתטי ההכרתי, ייצור ככל הנראה, מבעד משקפיו של מאמר זה, את השלב הבא באבולוציה האנושית ההכרתית</w:t>
      </w:r>
      <w:r>
        <w:t xml:space="preserve">. </w:t>
      </w:r>
    </w:p>
    <w:p w:rsidR="00142C24" w:rsidRDefault="00142C24" w:rsidP="00142C24"/>
    <w:p w:rsidR="00142C24" w:rsidRDefault="00142C24" w:rsidP="00142C24">
      <w:r>
        <w:rPr>
          <w:rFonts w:cs="Arial"/>
          <w:rtl/>
          <w:lang w:bidi="he-IL"/>
        </w:rPr>
        <w:t xml:space="preserve">גוגל </w:t>
      </w:r>
      <w:proofErr w:type="spellStart"/>
      <w:r>
        <w:rPr>
          <w:rFonts w:cs="Arial"/>
          <w:rtl/>
          <w:lang w:bidi="he-IL"/>
        </w:rPr>
        <w:t>טרנסלייט</w:t>
      </w:r>
      <w:proofErr w:type="spellEnd"/>
    </w:p>
    <w:p w:rsidR="00142C24" w:rsidRDefault="00142C24" w:rsidP="00142C24"/>
    <w:p w:rsidR="00142C24" w:rsidRDefault="00142C24" w:rsidP="00142C24">
      <w:r>
        <w:t>Today, however, the aesthetic philosophical testimony, part of which is presented in this article, is able to see again the divine beauty of the experience of momentary self-creation, alongside the sublimity of the social-cognitive aesthetic work. The combination in question here, between the beauty that results from self-creation, and the cognitive aesthetic experience, will probably create, through the glasses of this article, the next stage in cognitive human evolution.</w:t>
      </w:r>
    </w:p>
    <w:p w:rsidR="00142C24" w:rsidRDefault="00142C24" w:rsidP="00142C24"/>
    <w:p w:rsidR="00142C24" w:rsidRDefault="00142C24" w:rsidP="00142C24">
      <w:r>
        <w:rPr>
          <w:rFonts w:cs="Arial"/>
          <w:rtl/>
          <w:lang w:bidi="he-IL"/>
        </w:rPr>
        <w:t xml:space="preserve">אחרי </w:t>
      </w:r>
      <w:proofErr w:type="spellStart"/>
      <w:r>
        <w:rPr>
          <w:rFonts w:cs="Arial"/>
          <w:rtl/>
          <w:lang w:bidi="he-IL"/>
        </w:rPr>
        <w:t>גרמרלי</w:t>
      </w:r>
      <w:proofErr w:type="spellEnd"/>
    </w:p>
    <w:p w:rsidR="00142C24" w:rsidRDefault="00142C24" w:rsidP="00142C24"/>
    <w:p w:rsidR="00180A81" w:rsidRDefault="00142C24" w:rsidP="00142C24">
      <w:pPr>
        <w:rPr>
          <w:rtl/>
        </w:rPr>
      </w:pPr>
      <w:r>
        <w:t>Today, however, the aesthetic, philosophical testimony, part of which is presented in this article, can see the divine beauty of the experience of momentary self-creation again, alongside the sublimity of the social-cognitive aesthetic work. The combination in question here, between the beauty that results from self-creation, and the cognitive, aesthetic experience, will probably create the next stage in human cognitive evolution through this article's glasses.</w:t>
      </w:r>
    </w:p>
    <w:p w:rsidR="00142C24" w:rsidRDefault="00142C24" w:rsidP="00142C24">
      <w:pPr>
        <w:rPr>
          <w:rtl/>
        </w:rPr>
      </w:pPr>
    </w:p>
    <w:p w:rsidR="00142C24" w:rsidRDefault="00142C24" w:rsidP="00142C24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אחרי </w:t>
      </w:r>
      <w:proofErr w:type="spellStart"/>
      <w:r>
        <w:rPr>
          <w:rFonts w:hint="cs"/>
          <w:rtl/>
          <w:lang w:bidi="he-IL"/>
        </w:rPr>
        <w:t>אינסטאטקסט</w:t>
      </w:r>
      <w:proofErr w:type="spellEnd"/>
    </w:p>
    <w:p w:rsidR="00142C24" w:rsidRDefault="00142C24" w:rsidP="00142C24">
      <w:pPr>
        <w:rPr>
          <w:rFonts w:hint="cs"/>
          <w:rtl/>
          <w:lang w:bidi="he-IL"/>
        </w:rPr>
      </w:pPr>
      <w:r w:rsidRPr="00142C24">
        <w:rPr>
          <w:lang w:bidi="he-IL"/>
        </w:rPr>
        <w:t>Today, however, the aesthetic-philosophical testimony, part of which is presented in this article, is again able to see the divine beauty of the experience of momentary self-creation alongside the sublimity of social-cognitive aesthetic work. The combination at issue here, between the beauty resulting from self-creation and cognitive aesthetic experience, will likely create the next stage of cognitive human evolution through the lens of this article.</w:t>
      </w:r>
      <w:bookmarkStart w:id="0" w:name="_GoBack"/>
      <w:bookmarkEnd w:id="0"/>
    </w:p>
    <w:sectPr w:rsidR="00142C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24"/>
    <w:rsid w:val="000A39BA"/>
    <w:rsid w:val="00142C24"/>
    <w:rsid w:val="0018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E9445"/>
  <w15:chartTrackingRefBased/>
  <w15:docId w15:val="{2D7753CA-F21E-4310-94E8-A128723C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39BA"/>
    <w:pPr>
      <w:spacing w:line="276" w:lineRule="auto"/>
    </w:pPr>
    <w:rPr>
      <w:rFonts w:eastAsiaTheme="minorEastAsia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A39BA"/>
    <w:pPr>
      <w:spacing w:before="120" w:after="120"/>
      <w:ind w:left="720" w:right="720" w:hanging="720"/>
    </w:pPr>
    <w:rPr>
      <w:rFonts w:eastAsiaTheme="majorEastAsia" w:cstheme="majorBidi"/>
      <w:color w:val="000000" w:themeColor="text1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A39BA"/>
    <w:rPr>
      <w:rFonts w:eastAsiaTheme="majorEastAsia" w:cstheme="majorBidi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</cp:revision>
  <dcterms:created xsi:type="dcterms:W3CDTF">2022-02-09T21:38:00Z</dcterms:created>
  <dcterms:modified xsi:type="dcterms:W3CDTF">2022-02-09T21:45:00Z</dcterms:modified>
</cp:coreProperties>
</file>